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37" w:rsidRDefault="00554137" w:rsidP="00F8269C">
      <w:pPr>
        <w:rPr>
          <w:b/>
          <w:bCs/>
          <w:sz w:val="24"/>
        </w:rPr>
      </w:pPr>
    </w:p>
    <w:p w:rsidR="00554137" w:rsidRDefault="00554137" w:rsidP="00554137">
      <w:pPr>
        <w:tabs>
          <w:tab w:val="right" w:pos="9360"/>
        </w:tabs>
        <w:rPr>
          <w:rFonts w:ascii="Arial" w:hAnsi="Arial"/>
          <w:noProof/>
        </w:rPr>
      </w:pPr>
      <w:r>
        <w:rPr>
          <w:noProof/>
          <w:lang w:val="en-US" w:eastAsia="en-US"/>
        </w:rPr>
        <w:drawing>
          <wp:inline distT="0" distB="0" distL="0" distR="0">
            <wp:extent cx="1503680" cy="879475"/>
            <wp:effectExtent l="19050" t="0" r="127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03680" cy="879475"/>
                    </a:xfrm>
                    <a:prstGeom prst="rect">
                      <a:avLst/>
                    </a:prstGeom>
                    <a:solidFill>
                      <a:srgbClr val="FFFFFF"/>
                    </a:solidFill>
                    <a:ln w="9525">
                      <a:noFill/>
                      <a:miter lim="800000"/>
                      <a:headEnd/>
                      <a:tailEnd/>
                    </a:ln>
                  </pic:spPr>
                </pic:pic>
              </a:graphicData>
            </a:graphic>
          </wp:inline>
        </w:drawing>
      </w:r>
      <w:r>
        <w:rPr>
          <w:noProof/>
        </w:rPr>
        <w:t xml:space="preserve">              </w:t>
      </w:r>
      <w:r>
        <w:rPr>
          <w:noProof/>
          <w:lang w:val="en-US" w:eastAsia="en-US"/>
        </w:rPr>
        <w:drawing>
          <wp:inline distT="0" distB="0" distL="0" distR="0">
            <wp:extent cx="1371600" cy="685800"/>
            <wp:effectExtent l="1905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71600" cy="685800"/>
                    </a:xfrm>
                    <a:prstGeom prst="rect">
                      <a:avLst/>
                    </a:prstGeom>
                    <a:noFill/>
                    <a:ln w="9525">
                      <a:noFill/>
                      <a:miter lim="800000"/>
                      <a:headEnd/>
                      <a:tailEnd/>
                    </a:ln>
                  </pic:spPr>
                </pic:pic>
              </a:graphicData>
            </a:graphic>
          </wp:inline>
        </w:drawing>
      </w:r>
      <w:r>
        <w:rPr>
          <w:noProof/>
        </w:rPr>
        <w:t xml:space="preserve">                 </w:t>
      </w:r>
      <w:r>
        <w:rPr>
          <w:noProof/>
          <w:lang w:val="en-US" w:eastAsia="en-US"/>
        </w:rPr>
        <w:drawing>
          <wp:inline distT="0" distB="0" distL="0" distR="0">
            <wp:extent cx="1389380" cy="1116330"/>
            <wp:effectExtent l="19050" t="0" r="1270" b="0"/>
            <wp:docPr id="30" name="Picture 0" descr="2013-02-13LOGO_COOPERACIO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3-02-13LOGO_COOPERACION-m.jpg"/>
                    <pic:cNvPicPr>
                      <a:picLocks noChangeAspect="1" noChangeArrowheads="1"/>
                    </pic:cNvPicPr>
                  </pic:nvPicPr>
                  <pic:blipFill>
                    <a:blip r:embed="rId6"/>
                    <a:srcRect/>
                    <a:stretch>
                      <a:fillRect/>
                    </a:stretch>
                  </pic:blipFill>
                  <pic:spPr bwMode="auto">
                    <a:xfrm>
                      <a:off x="0" y="0"/>
                      <a:ext cx="1389380" cy="1116330"/>
                    </a:xfrm>
                    <a:prstGeom prst="rect">
                      <a:avLst/>
                    </a:prstGeom>
                    <a:noFill/>
                    <a:ln w="9525">
                      <a:noFill/>
                      <a:miter lim="800000"/>
                      <a:headEnd/>
                      <a:tailEnd/>
                    </a:ln>
                  </pic:spPr>
                </pic:pic>
              </a:graphicData>
            </a:graphic>
          </wp:inline>
        </w:drawing>
      </w:r>
    </w:p>
    <w:p w:rsidR="00554137" w:rsidRDefault="00554137" w:rsidP="00554137">
      <w:pPr>
        <w:jc w:val="center"/>
        <w:rPr>
          <w:b/>
          <w:bCs/>
          <w:sz w:val="24"/>
        </w:rPr>
      </w:pPr>
    </w:p>
    <w:p w:rsidR="00554137" w:rsidRDefault="00554137" w:rsidP="00554137">
      <w:pPr>
        <w:jc w:val="center"/>
        <w:rPr>
          <w:b/>
          <w:bCs/>
          <w:sz w:val="24"/>
        </w:rPr>
      </w:pPr>
    </w:p>
    <w:p w:rsidR="00554137" w:rsidRDefault="00554137" w:rsidP="00554137">
      <w:pPr>
        <w:rPr>
          <w:b/>
          <w:bCs/>
          <w:sz w:val="24"/>
        </w:rPr>
      </w:pPr>
      <w:r>
        <w:rPr>
          <w:b/>
          <w:bCs/>
          <w:sz w:val="24"/>
        </w:rPr>
        <w:t xml:space="preserve">                        </w:t>
      </w:r>
    </w:p>
    <w:p w:rsidR="00554137" w:rsidRDefault="00554137" w:rsidP="00554137">
      <w:pPr>
        <w:jc w:val="center"/>
        <w:rPr>
          <w:b/>
          <w:sz w:val="36"/>
          <w:szCs w:val="36"/>
        </w:rPr>
      </w:pPr>
      <w:r>
        <w:rPr>
          <w:b/>
          <w:sz w:val="36"/>
          <w:szCs w:val="36"/>
        </w:rPr>
        <w:t>REPUBLIQUE D’HAITI</w:t>
      </w:r>
    </w:p>
    <w:p w:rsidR="00554137" w:rsidRDefault="00554137" w:rsidP="00554137">
      <w:pPr>
        <w:jc w:val="center"/>
        <w:rPr>
          <w:b/>
          <w:sz w:val="28"/>
          <w:szCs w:val="28"/>
        </w:rPr>
      </w:pPr>
      <w:r>
        <w:rPr>
          <w:b/>
          <w:sz w:val="28"/>
          <w:szCs w:val="28"/>
        </w:rPr>
        <w:t>Direction Nationale de l’Eau Potable et de l’Assainissement (DINEPA)</w:t>
      </w:r>
    </w:p>
    <w:p w:rsidR="00554137" w:rsidRDefault="00554137" w:rsidP="00554137">
      <w:pPr>
        <w:jc w:val="center"/>
        <w:rPr>
          <w:sz w:val="24"/>
          <w:szCs w:val="24"/>
          <w:lang w:val="fr-CH"/>
        </w:rPr>
      </w:pPr>
      <w:r>
        <w:rPr>
          <w:b/>
          <w:iCs/>
          <w:sz w:val="22"/>
          <w:szCs w:val="22"/>
        </w:rPr>
        <w:t>PROGRAMME DE RÉFORME ET  D’INVESTISSEMENTS DANS LE SECTEUR DE L’EAU POTABLE ET DE L’ASSAINISSEMENT EN HAÏTI</w:t>
      </w:r>
      <w:r>
        <w:rPr>
          <w:sz w:val="24"/>
          <w:szCs w:val="24"/>
        </w:rPr>
        <w:t xml:space="preserve"> </w:t>
      </w:r>
    </w:p>
    <w:p w:rsidR="00554137" w:rsidRDefault="00554137" w:rsidP="00554137">
      <w:pPr>
        <w:jc w:val="center"/>
        <w:rPr>
          <w:sz w:val="24"/>
          <w:szCs w:val="24"/>
          <w:lang w:val="fr-CH"/>
        </w:rPr>
      </w:pPr>
      <w:r>
        <w:rPr>
          <w:sz w:val="24"/>
          <w:szCs w:val="24"/>
          <w:lang w:val="fr-CH"/>
        </w:rPr>
        <w:t>HTI-003-B</w:t>
      </w:r>
    </w:p>
    <w:p w:rsidR="00554137" w:rsidRDefault="00554137" w:rsidP="00554137">
      <w:pPr>
        <w:jc w:val="center"/>
        <w:rPr>
          <w:sz w:val="24"/>
          <w:szCs w:val="24"/>
        </w:rPr>
      </w:pPr>
    </w:p>
    <w:p w:rsidR="00554137" w:rsidRDefault="00554137" w:rsidP="00554137">
      <w:pPr>
        <w:jc w:val="center"/>
        <w:rPr>
          <w:b/>
          <w:sz w:val="24"/>
          <w:szCs w:val="24"/>
        </w:rPr>
      </w:pPr>
      <w:r>
        <w:rPr>
          <w:b/>
          <w:sz w:val="24"/>
          <w:szCs w:val="24"/>
        </w:rPr>
        <w:t>Avis à Manifestation d’Intérêt</w:t>
      </w:r>
    </w:p>
    <w:p w:rsidR="00554137" w:rsidRDefault="00554137" w:rsidP="00554137">
      <w:pPr>
        <w:jc w:val="center"/>
        <w:rPr>
          <w:b/>
          <w:sz w:val="28"/>
          <w:szCs w:val="28"/>
        </w:rPr>
      </w:pPr>
      <w:r>
        <w:rPr>
          <w:b/>
          <w:sz w:val="28"/>
          <w:szCs w:val="28"/>
        </w:rPr>
        <w:t>SCF-AOPI No.11-10/15</w:t>
      </w:r>
    </w:p>
    <w:p w:rsidR="00554137" w:rsidRDefault="00554137" w:rsidP="00554137">
      <w:pPr>
        <w:jc w:val="center"/>
        <w:rPr>
          <w:b/>
          <w:sz w:val="28"/>
          <w:szCs w:val="28"/>
        </w:rPr>
      </w:pPr>
    </w:p>
    <w:p w:rsidR="00554137" w:rsidRDefault="00554137" w:rsidP="00554137">
      <w:pPr>
        <w:jc w:val="center"/>
        <w:rPr>
          <w:b/>
          <w:sz w:val="24"/>
          <w:szCs w:val="24"/>
        </w:rPr>
      </w:pPr>
      <w:r>
        <w:rPr>
          <w:b/>
          <w:sz w:val="24"/>
          <w:szCs w:val="24"/>
        </w:rPr>
        <w:t>« Supervision des travaux de réhabilitation du reseau d’adduction et de distribution d’eau potable de la ville de Hinche»</w:t>
      </w:r>
    </w:p>
    <w:p w:rsidR="00554137" w:rsidRDefault="00554137" w:rsidP="00554137">
      <w:pPr>
        <w:jc w:val="center"/>
        <w:rPr>
          <w:b/>
          <w:bCs/>
          <w:sz w:val="24"/>
        </w:rPr>
      </w:pPr>
    </w:p>
    <w:p w:rsidR="00554137" w:rsidRDefault="00554137" w:rsidP="00554137">
      <w:pPr>
        <w:spacing w:after="120"/>
        <w:jc w:val="both"/>
        <w:rPr>
          <w:sz w:val="24"/>
          <w:szCs w:val="24"/>
        </w:rPr>
      </w:pPr>
      <w:r>
        <w:rPr>
          <w:sz w:val="24"/>
          <w:szCs w:val="24"/>
        </w:rPr>
        <w:t>La Direction Nationale de l’Eau Potable et de l’Assainissement (DINEPA), organisme autonome placé sous la tutelle du Ministère des Travaux Publics, Transports et Communications (MTPTC), est bénéficiaire d’une subvention du gouvernement de l’Espagne à travers le Fonds de Coopération pour l’Eau et l’Assainissement pour financer le « </w:t>
      </w:r>
      <w:r>
        <w:rPr>
          <w:i/>
          <w:sz w:val="24"/>
          <w:szCs w:val="24"/>
        </w:rPr>
        <w:t>Programme de réforme et d’investissements dans le secteur de l’Eau Potable et de l’Assainissement en Haïti</w:t>
      </w:r>
      <w:r>
        <w:rPr>
          <w:sz w:val="24"/>
          <w:szCs w:val="24"/>
        </w:rPr>
        <w:t> ».</w:t>
      </w:r>
    </w:p>
    <w:p w:rsidR="00554137" w:rsidRDefault="00554137" w:rsidP="00554137">
      <w:pPr>
        <w:jc w:val="both"/>
        <w:rPr>
          <w:sz w:val="24"/>
        </w:rPr>
      </w:pPr>
      <w:r>
        <w:rPr>
          <w:sz w:val="24"/>
          <w:szCs w:val="24"/>
        </w:rPr>
        <w:t>La DINEPA se propose d’utiliser une partie de ce fonds pour effectuer des paiements éligibles au titre du Marché</w:t>
      </w:r>
      <w:r>
        <w:rPr>
          <w:rFonts w:ascii="Tahoma" w:hAnsi="Tahoma" w:cs="Tahoma"/>
          <w:sz w:val="22"/>
          <w:szCs w:val="22"/>
        </w:rPr>
        <w:t> </w:t>
      </w:r>
      <w:r>
        <w:rPr>
          <w:sz w:val="24"/>
        </w:rPr>
        <w:t xml:space="preserve"> « </w:t>
      </w:r>
      <w:r>
        <w:rPr>
          <w:b/>
          <w:sz w:val="24"/>
          <w:szCs w:val="24"/>
        </w:rPr>
        <w:t>Supervision des travaux de réhabilitation du reseau d’adduction et de distribution d’eau potable de la ville de Hinche</w:t>
      </w:r>
      <w:r>
        <w:rPr>
          <w:sz w:val="24"/>
        </w:rPr>
        <w:t>».</w:t>
      </w:r>
    </w:p>
    <w:p w:rsidR="00554137" w:rsidRDefault="00554137" w:rsidP="00554137">
      <w:pPr>
        <w:jc w:val="both"/>
        <w:rPr>
          <w:sz w:val="24"/>
        </w:rPr>
      </w:pPr>
    </w:p>
    <w:p w:rsidR="00554137" w:rsidRDefault="00554137" w:rsidP="00554137">
      <w:pPr>
        <w:jc w:val="both"/>
        <w:rPr>
          <w:sz w:val="24"/>
        </w:rPr>
      </w:pPr>
      <w:r>
        <w:rPr>
          <w:sz w:val="24"/>
        </w:rPr>
        <w:t xml:space="preserve">La </w:t>
      </w:r>
      <w:r>
        <w:rPr>
          <w:b/>
          <w:sz w:val="24"/>
        </w:rPr>
        <w:t>DINEPA</w:t>
      </w:r>
      <w:r>
        <w:rPr>
          <w:sz w:val="24"/>
        </w:rPr>
        <w:t xml:space="preserve"> entend pré-sélectionner  des bureaux de supervision devant fournir conformément aux termes de référence, les principaux services suivants : </w:t>
      </w:r>
    </w:p>
    <w:p w:rsidR="00554137" w:rsidRDefault="00554137" w:rsidP="00554137">
      <w:pPr>
        <w:jc w:val="both"/>
        <w:rPr>
          <w:sz w:val="24"/>
        </w:rPr>
      </w:pPr>
    </w:p>
    <w:p w:rsidR="00554137" w:rsidRDefault="00554137" w:rsidP="00554137">
      <w:pPr>
        <w:tabs>
          <w:tab w:val="left" w:pos="0"/>
        </w:tabs>
        <w:spacing w:after="200" w:line="276" w:lineRule="auto"/>
        <w:jc w:val="both"/>
        <w:rPr>
          <w:sz w:val="24"/>
          <w:szCs w:val="32"/>
        </w:rPr>
      </w:pPr>
      <w:r>
        <w:rPr>
          <w:sz w:val="24"/>
          <w:szCs w:val="32"/>
        </w:rPr>
        <w:t>Activité. 1.1.-  Conception du captage, Supervision de la construction « Captage  et adduction » du SAEP de Hinche.</w:t>
      </w:r>
    </w:p>
    <w:p w:rsidR="00554137" w:rsidRDefault="00554137" w:rsidP="00554137">
      <w:pPr>
        <w:tabs>
          <w:tab w:val="left" w:pos="0"/>
        </w:tabs>
        <w:spacing w:after="200" w:line="276" w:lineRule="auto"/>
        <w:jc w:val="both"/>
        <w:rPr>
          <w:b/>
          <w:sz w:val="24"/>
          <w:szCs w:val="32"/>
        </w:rPr>
      </w:pPr>
      <w:r>
        <w:rPr>
          <w:sz w:val="24"/>
          <w:szCs w:val="32"/>
        </w:rPr>
        <w:t>Activité. 1.2.- Supervision de la construction du réseau de distribution du SAEP de Hinche</w:t>
      </w:r>
      <w:r>
        <w:rPr>
          <w:b/>
          <w:sz w:val="24"/>
          <w:szCs w:val="32"/>
        </w:rPr>
        <w:t>.</w:t>
      </w:r>
    </w:p>
    <w:p w:rsidR="00554137" w:rsidRDefault="00554137" w:rsidP="00554137">
      <w:pPr>
        <w:spacing w:after="120"/>
        <w:jc w:val="both"/>
        <w:rPr>
          <w:sz w:val="24"/>
          <w:szCs w:val="24"/>
        </w:rPr>
      </w:pPr>
      <w:r>
        <w:rPr>
          <w:sz w:val="24"/>
          <w:szCs w:val="24"/>
        </w:rPr>
        <w:t xml:space="preserve">La </w:t>
      </w:r>
      <w:r>
        <w:rPr>
          <w:b/>
          <w:sz w:val="24"/>
          <w:szCs w:val="24"/>
        </w:rPr>
        <w:t>DINEPA</w:t>
      </w:r>
      <w:r>
        <w:rPr>
          <w:sz w:val="24"/>
          <w:szCs w:val="24"/>
        </w:rPr>
        <w:t xml:space="preserve"> invite d’ores et déjà les consultants admissibles à manifester leur intérêt pour les prestations susmentionnées.</w:t>
      </w:r>
    </w:p>
    <w:p w:rsidR="00554137" w:rsidRDefault="00554137" w:rsidP="00554137">
      <w:pPr>
        <w:pStyle w:val="BodyText"/>
        <w:rPr>
          <w:szCs w:val="24"/>
        </w:rPr>
      </w:pPr>
    </w:p>
    <w:p w:rsidR="00554137" w:rsidRDefault="00554137" w:rsidP="00554137">
      <w:pPr>
        <w:jc w:val="both"/>
        <w:rPr>
          <w:sz w:val="24"/>
          <w:szCs w:val="24"/>
        </w:rPr>
      </w:pPr>
    </w:p>
    <w:p w:rsidR="00554137" w:rsidRDefault="00554137" w:rsidP="00554137">
      <w:pPr>
        <w:jc w:val="both"/>
        <w:rPr>
          <w:sz w:val="24"/>
          <w:szCs w:val="24"/>
        </w:rPr>
      </w:pPr>
      <w:r>
        <w:rPr>
          <w:sz w:val="24"/>
          <w:szCs w:val="24"/>
        </w:rPr>
        <w:lastRenderedPageBreak/>
        <w:t>Les consultants intéressés doivent soumettre toutes les informations nécessaires à démontrer qu’ils sont compétents pour fournir lesdits services (brochures, description de services rendus dans le cadre de projets similaires, expérience dans des circonstances identiques (en Haïti, en Amérique Latine, dans les Caraïbes, en Asie, dans le Pacifique ou en Afrique), disponibilité du personnel compétent pour fournir les services, etc.. Les consultants peuvent s’associer pour joindre leurs compétences.</w:t>
      </w:r>
    </w:p>
    <w:p w:rsidR="00554137" w:rsidRDefault="00554137" w:rsidP="00554137">
      <w:pPr>
        <w:pStyle w:val="BodyText"/>
        <w:rPr>
          <w:szCs w:val="24"/>
        </w:rPr>
      </w:pPr>
    </w:p>
    <w:p w:rsidR="00554137" w:rsidRDefault="00554137" w:rsidP="00554137">
      <w:pPr>
        <w:jc w:val="both"/>
        <w:rPr>
          <w:sz w:val="24"/>
          <w:szCs w:val="24"/>
        </w:rPr>
      </w:pPr>
      <w:r>
        <w:rPr>
          <w:sz w:val="24"/>
          <w:szCs w:val="24"/>
        </w:rPr>
        <w:t xml:space="preserve">Les consultants seront sélectionnés suivant les conditions prévues par la Banque Interaméricaine de Développement (BID) dans le Document GN 2350 -9 « les </w:t>
      </w:r>
      <w:hyperlink r:id="rId7" w:history="1">
        <w:r>
          <w:rPr>
            <w:rStyle w:val="Hyperlink"/>
            <w:color w:val="auto"/>
            <w:sz w:val="24"/>
            <w:szCs w:val="24"/>
            <w:u w:val="none"/>
          </w:rPr>
          <w:t xml:space="preserve">Politiques relatives à la sélection et au recrutement de consultants financés par la Banque Interaméricaine de Développement (BID) » </w:t>
        </w:r>
      </w:hyperlink>
      <w:r>
        <w:rPr>
          <w:sz w:val="24"/>
          <w:szCs w:val="24"/>
        </w:rPr>
        <w:t xml:space="preserve"> (version juillet 2011) adoptées par le Règlement Opérationnel (ROP) de l’AECID et sont ouvertes à tous les soumissionnaires. </w:t>
      </w:r>
    </w:p>
    <w:p w:rsidR="00554137" w:rsidRDefault="00554137" w:rsidP="00554137">
      <w:pPr>
        <w:pStyle w:val="BodyText"/>
        <w:rPr>
          <w:szCs w:val="24"/>
        </w:rPr>
      </w:pPr>
    </w:p>
    <w:p w:rsidR="00554137" w:rsidRDefault="00554137" w:rsidP="00554137">
      <w:pPr>
        <w:pStyle w:val="BodyText"/>
        <w:rPr>
          <w:szCs w:val="24"/>
        </w:rPr>
      </w:pPr>
    </w:p>
    <w:p w:rsidR="00554137" w:rsidRDefault="00554137" w:rsidP="00554137">
      <w:pPr>
        <w:spacing w:after="120"/>
        <w:jc w:val="both"/>
        <w:rPr>
          <w:sz w:val="24"/>
          <w:szCs w:val="24"/>
        </w:rPr>
      </w:pPr>
      <w:r>
        <w:rPr>
          <w:sz w:val="24"/>
          <w:szCs w:val="24"/>
        </w:rPr>
        <w:t>Les consultants intéressés peuvent obtenir de plus amples informations en adressant une demande à l’adresse indiquée ci-dessous, pendant les jours ouvrables de 8:00 AM à 3:00 PM.</w:t>
      </w:r>
    </w:p>
    <w:p w:rsidR="00554137" w:rsidRDefault="00554137" w:rsidP="00554137">
      <w:pPr>
        <w:jc w:val="both"/>
        <w:rPr>
          <w:sz w:val="24"/>
          <w:szCs w:val="24"/>
        </w:rPr>
      </w:pPr>
      <w:r>
        <w:rPr>
          <w:sz w:val="24"/>
          <w:szCs w:val="24"/>
        </w:rPr>
        <w:t xml:space="preserve">Toute manifestation d'intérêt doit être déposée à l’adresse ci-dessous  au plus tard le </w:t>
      </w:r>
      <w:r w:rsidR="00C46AC2">
        <w:rPr>
          <w:sz w:val="24"/>
          <w:szCs w:val="24"/>
        </w:rPr>
        <w:t xml:space="preserve">mardi </w:t>
      </w:r>
      <w:r w:rsidR="00367129">
        <w:rPr>
          <w:sz w:val="24"/>
          <w:szCs w:val="24"/>
        </w:rPr>
        <w:t xml:space="preserve">24 </w:t>
      </w:r>
      <w:r>
        <w:rPr>
          <w:sz w:val="24"/>
          <w:szCs w:val="24"/>
        </w:rPr>
        <w:t>novembre  2015  à 14 :00 (heure locale), à l’adresse suivante :</w:t>
      </w:r>
    </w:p>
    <w:p w:rsidR="00554137" w:rsidRDefault="00554137" w:rsidP="00554137">
      <w:pPr>
        <w:tabs>
          <w:tab w:val="left" w:pos="0"/>
          <w:tab w:val="left" w:pos="810"/>
        </w:tabs>
        <w:jc w:val="both"/>
        <w:rPr>
          <w:sz w:val="24"/>
          <w:szCs w:val="24"/>
        </w:rPr>
      </w:pPr>
      <w:r>
        <w:rPr>
          <w:sz w:val="24"/>
          <w:szCs w:val="24"/>
        </w:rPr>
        <w:tab/>
        <w:t>Direction Nationale de l’Eau Potable et de l’Assainissement DINEPA</w:t>
      </w:r>
    </w:p>
    <w:p w:rsidR="00554137" w:rsidRDefault="00554137" w:rsidP="00554137">
      <w:pPr>
        <w:tabs>
          <w:tab w:val="left" w:pos="0"/>
          <w:tab w:val="left" w:pos="810"/>
        </w:tabs>
        <w:jc w:val="both"/>
        <w:rPr>
          <w:color w:val="0000FF"/>
          <w:sz w:val="24"/>
          <w:szCs w:val="24"/>
        </w:rPr>
      </w:pPr>
      <w:r>
        <w:rPr>
          <w:sz w:val="24"/>
          <w:szCs w:val="24"/>
        </w:rPr>
        <w:tab/>
        <w:t>11, rue Borno</w:t>
      </w:r>
    </w:p>
    <w:p w:rsidR="00554137" w:rsidRDefault="00554137" w:rsidP="00554137">
      <w:pPr>
        <w:tabs>
          <w:tab w:val="left" w:pos="0"/>
          <w:tab w:val="left" w:pos="810"/>
        </w:tabs>
        <w:jc w:val="both"/>
        <w:rPr>
          <w:sz w:val="24"/>
          <w:szCs w:val="24"/>
        </w:rPr>
      </w:pPr>
      <w:r>
        <w:rPr>
          <w:sz w:val="24"/>
          <w:szCs w:val="24"/>
        </w:rPr>
        <w:tab/>
        <w:t>Pétion-Ville, Haïti</w:t>
      </w:r>
    </w:p>
    <w:p w:rsidR="00554137" w:rsidRDefault="00554137" w:rsidP="00554137">
      <w:pPr>
        <w:tabs>
          <w:tab w:val="left" w:pos="0"/>
          <w:tab w:val="left" w:pos="810"/>
        </w:tabs>
        <w:jc w:val="both"/>
        <w:rPr>
          <w:sz w:val="24"/>
          <w:szCs w:val="24"/>
        </w:rPr>
      </w:pPr>
      <w:r>
        <w:rPr>
          <w:sz w:val="24"/>
          <w:szCs w:val="24"/>
        </w:rPr>
        <w:tab/>
        <w:t>Tél. : (509) 22 56 47 70, (509) 22 56 08 31, (509) 29 43 05 77</w:t>
      </w:r>
    </w:p>
    <w:p w:rsidR="00554137" w:rsidRDefault="00554137" w:rsidP="00554137">
      <w:pPr>
        <w:jc w:val="both"/>
        <w:rPr>
          <w:sz w:val="24"/>
          <w:szCs w:val="24"/>
        </w:rPr>
      </w:pPr>
      <w:r>
        <w:rPr>
          <w:sz w:val="24"/>
          <w:szCs w:val="24"/>
        </w:rPr>
        <w:t xml:space="preserve">            Emails : </w:t>
      </w:r>
      <w:hyperlink r:id="rId8" w:history="1">
        <w:r>
          <w:rPr>
            <w:rStyle w:val="Hyperlink"/>
            <w:szCs w:val="24"/>
          </w:rPr>
          <w:t>secretariat@dinepa.gouv.ht</w:t>
        </w:r>
      </w:hyperlink>
      <w:r>
        <w:rPr>
          <w:sz w:val="24"/>
          <w:szCs w:val="24"/>
        </w:rPr>
        <w:t xml:space="preserve"> et </w:t>
      </w:r>
      <w:hyperlink r:id="rId9" w:history="1">
        <w:r>
          <w:rPr>
            <w:rStyle w:val="Hyperlink"/>
            <w:szCs w:val="24"/>
          </w:rPr>
          <w:t>passation.marches@dinepa.gouv.ht</w:t>
        </w:r>
      </w:hyperlink>
    </w:p>
    <w:p w:rsidR="00554137" w:rsidRDefault="00554137" w:rsidP="00554137">
      <w:pPr>
        <w:jc w:val="both"/>
        <w:rPr>
          <w:sz w:val="24"/>
          <w:szCs w:val="24"/>
        </w:rPr>
      </w:pPr>
    </w:p>
    <w:p w:rsidR="00554137" w:rsidRDefault="00554137" w:rsidP="00554137">
      <w:pPr>
        <w:rPr>
          <w:rFonts w:ascii="Arial" w:hAnsi="Arial"/>
        </w:rPr>
      </w:pPr>
    </w:p>
    <w:p w:rsidR="00554137" w:rsidRDefault="00554137" w:rsidP="00554137"/>
    <w:p w:rsidR="00554137" w:rsidRDefault="00554137" w:rsidP="00554137"/>
    <w:p w:rsidR="00554137" w:rsidRDefault="00554137" w:rsidP="00554137"/>
    <w:p w:rsidR="00554137" w:rsidRDefault="00554137" w:rsidP="00554137">
      <w:r>
        <w:tab/>
      </w:r>
      <w:r>
        <w:tab/>
      </w:r>
      <w:r>
        <w:tab/>
      </w:r>
      <w:r>
        <w:tab/>
      </w:r>
      <w:r>
        <w:tab/>
      </w:r>
      <w:r>
        <w:tab/>
      </w:r>
      <w:r>
        <w:tab/>
      </w:r>
      <w:r>
        <w:tab/>
      </w:r>
      <w:r>
        <w:tab/>
      </w:r>
      <w:r>
        <w:tab/>
        <w:t xml:space="preserve">Bénito </w:t>
      </w:r>
      <w:r>
        <w:rPr>
          <w:b/>
        </w:rPr>
        <w:t>DUMAY</w:t>
      </w:r>
    </w:p>
    <w:p w:rsidR="00554137" w:rsidRDefault="00554137" w:rsidP="00554137">
      <w:r>
        <w:tab/>
      </w:r>
      <w:r>
        <w:tab/>
      </w:r>
      <w:r>
        <w:tab/>
      </w:r>
      <w:r>
        <w:tab/>
      </w:r>
      <w:r>
        <w:tab/>
      </w:r>
      <w:r>
        <w:tab/>
      </w:r>
      <w:r>
        <w:tab/>
      </w:r>
      <w:r>
        <w:tab/>
      </w:r>
      <w:r>
        <w:tab/>
      </w:r>
      <w:r>
        <w:tab/>
        <w:t>Directeur Général</w:t>
      </w:r>
    </w:p>
    <w:p w:rsidR="00554137" w:rsidRPr="00554137" w:rsidRDefault="00554137">
      <w:pPr>
        <w:rPr>
          <w:lang w:val="fr-CA"/>
        </w:rPr>
      </w:pPr>
    </w:p>
    <w:sectPr w:rsidR="00554137" w:rsidRPr="00554137" w:rsidSect="00696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554137"/>
    <w:rsid w:val="001B54F1"/>
    <w:rsid w:val="00367129"/>
    <w:rsid w:val="00554137"/>
    <w:rsid w:val="00696281"/>
    <w:rsid w:val="007E0F6F"/>
    <w:rsid w:val="00C46AC2"/>
    <w:rsid w:val="00DC74B3"/>
    <w:rsid w:val="00F82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37"/>
    <w:pPr>
      <w:spacing w:after="0" w:line="240" w:lineRule="auto"/>
    </w:pPr>
    <w:rPr>
      <w:rFonts w:ascii="Times New Roman" w:eastAsia="MS Mincho" w:hAnsi="Times New Roman"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54137"/>
    <w:rPr>
      <w:color w:val="0000FF"/>
      <w:u w:val="single"/>
    </w:rPr>
  </w:style>
  <w:style w:type="character" w:customStyle="1" w:styleId="ListParagraphChar">
    <w:name w:val="List Paragraph Char"/>
    <w:basedOn w:val="DefaultParagraphFont"/>
    <w:link w:val="ListParagraph"/>
    <w:uiPriority w:val="99"/>
    <w:locked/>
    <w:rsid w:val="00554137"/>
    <w:rPr>
      <w:lang w:val="fr-FR" w:eastAsia="fr-FR"/>
    </w:rPr>
  </w:style>
  <w:style w:type="paragraph" w:styleId="ListParagraph">
    <w:name w:val="List Paragraph"/>
    <w:basedOn w:val="Normal"/>
    <w:link w:val="ListParagraphChar"/>
    <w:uiPriority w:val="99"/>
    <w:qFormat/>
    <w:rsid w:val="00554137"/>
    <w:pPr>
      <w:ind w:left="708"/>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54137"/>
    <w:rPr>
      <w:rFonts w:ascii="Tahoma" w:hAnsi="Tahoma" w:cs="Tahoma"/>
      <w:sz w:val="16"/>
      <w:szCs w:val="16"/>
    </w:rPr>
  </w:style>
  <w:style w:type="character" w:customStyle="1" w:styleId="BalloonTextChar">
    <w:name w:val="Balloon Text Char"/>
    <w:basedOn w:val="DefaultParagraphFont"/>
    <w:link w:val="BalloonText"/>
    <w:uiPriority w:val="99"/>
    <w:semiHidden/>
    <w:rsid w:val="00554137"/>
    <w:rPr>
      <w:rFonts w:ascii="Tahoma" w:eastAsia="MS Mincho" w:hAnsi="Tahoma" w:cs="Tahoma"/>
      <w:sz w:val="16"/>
      <w:szCs w:val="16"/>
      <w:lang w:val="fr-FR" w:eastAsia="fr-FR"/>
    </w:rPr>
  </w:style>
  <w:style w:type="paragraph" w:styleId="BodyText">
    <w:name w:val="Body Text"/>
    <w:basedOn w:val="Normal"/>
    <w:link w:val="BodyTextChar"/>
    <w:semiHidden/>
    <w:unhideWhenUsed/>
    <w:rsid w:val="00554137"/>
    <w:pPr>
      <w:jc w:val="both"/>
    </w:pPr>
    <w:rPr>
      <w:rFonts w:eastAsia="Times New Roman"/>
      <w:sz w:val="24"/>
      <w:lang w:eastAsia="en-US"/>
    </w:rPr>
  </w:style>
  <w:style w:type="character" w:customStyle="1" w:styleId="BodyTextChar">
    <w:name w:val="Body Text Char"/>
    <w:basedOn w:val="DefaultParagraphFont"/>
    <w:link w:val="BodyText"/>
    <w:semiHidden/>
    <w:rsid w:val="00554137"/>
    <w:rPr>
      <w:rFonts w:ascii="Times New Roman" w:eastAsia="Times New Roman" w:hAnsi="Times New Roman" w:cs="Times New Roman"/>
      <w:sz w:val="24"/>
      <w:szCs w:val="20"/>
      <w:lang w:val="fr-FR"/>
    </w:rPr>
  </w:style>
</w:styles>
</file>

<file path=word/webSettings.xml><?xml version="1.0" encoding="utf-8"?>
<w:webSettings xmlns:r="http://schemas.openxmlformats.org/officeDocument/2006/relationships" xmlns:w="http://schemas.openxmlformats.org/wordprocessingml/2006/main">
  <w:divs>
    <w:div w:id="54790079">
      <w:bodyDiv w:val="1"/>
      <w:marLeft w:val="0"/>
      <w:marRight w:val="0"/>
      <w:marTop w:val="0"/>
      <w:marBottom w:val="0"/>
      <w:divBdr>
        <w:top w:val="none" w:sz="0" w:space="0" w:color="auto"/>
        <w:left w:val="none" w:sz="0" w:space="0" w:color="auto"/>
        <w:bottom w:val="none" w:sz="0" w:space="0" w:color="auto"/>
        <w:right w:val="none" w:sz="0" w:space="0" w:color="auto"/>
      </w:divBdr>
    </w:div>
    <w:div w:id="4732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inepa.gouv.ht" TargetMode="External"/><Relationship Id="rId3" Type="http://schemas.openxmlformats.org/officeDocument/2006/relationships/webSettings" Target="webSettings.xml"/><Relationship Id="rId7" Type="http://schemas.openxmlformats.org/officeDocument/2006/relationships/hyperlink" Target="http://condc05.iadb.org/idbppis/aspx/ppProcurement.aspx?pLanguage=FRENCH&amp;pMenuOption=oMenu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assation.marches@dinepa.gouv.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2889</Characters>
  <Application>Microsoft Office Word</Application>
  <DocSecurity>0</DocSecurity>
  <Lines>24</Lines>
  <Paragraphs>6</Paragraphs>
  <ScaleCrop>false</ScaleCrop>
  <Company>Hewlett-Packard Company</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vivianne.michel</dc:creator>
  <cp:lastModifiedBy>remy.medina</cp:lastModifiedBy>
  <cp:revision>5</cp:revision>
  <dcterms:created xsi:type="dcterms:W3CDTF">2015-10-22T13:10:00Z</dcterms:created>
  <dcterms:modified xsi:type="dcterms:W3CDTF">2015-11-10T15:04:00Z</dcterms:modified>
</cp:coreProperties>
</file>